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line="600" w:lineRule="exact"/>
        <w:ind w:right="28"/>
        <w:rPr>
          <w:rFonts w:ascii="仿宋_GB2312" w:hAnsi="仿宋_GB2312" w:eastAsia="仿宋_GB2312" w:cs="仿宋_GB2312"/>
          <w:sz w:val="28"/>
          <w:szCs w:val="28"/>
        </w:rPr>
      </w:pPr>
      <w:r>
        <w:rPr>
          <w:rFonts w:hint="eastAsia" w:ascii="仿宋_GB2312" w:hAnsi="仿宋_GB2312" w:eastAsia="仿宋_GB2312" w:cs="仿宋_GB2312"/>
          <w:sz w:val="28"/>
          <w:szCs w:val="28"/>
        </w:rPr>
        <w:t>附件5：</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219"/>
        <w:gridCol w:w="499"/>
        <w:gridCol w:w="2638"/>
        <w:gridCol w:w="51"/>
        <w:gridCol w:w="146"/>
        <w:gridCol w:w="240"/>
        <w:gridCol w:w="1573"/>
        <w:gridCol w:w="219"/>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667" w:type="dxa"/>
            <w:gridSpan w:val="9"/>
            <w:shd w:val="clear" w:color="auto" w:fill="auto"/>
          </w:tcPr>
          <w:p>
            <w:pPr>
              <w:jc w:val="center"/>
              <w:rPr>
                <w:rFonts w:hint="eastAsia" w:ascii="宋体" w:hAnsi="宋体" w:eastAsia="宋体" w:cs="宋体"/>
                <w:b/>
                <w:sz w:val="24"/>
                <w:szCs w:val="24"/>
              </w:rPr>
            </w:pPr>
            <w:r>
              <w:rPr>
                <w:rFonts w:hint="eastAsia" w:ascii="宋体" w:hAnsi="宋体" w:eastAsia="宋体" w:cs="宋体"/>
                <w:b w:val="0"/>
                <w:bCs/>
                <w:sz w:val="24"/>
                <w:szCs w:val="24"/>
              </w:rPr>
              <w:t>冷拌高性能聚氨酯混合料路面关键技术研究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793" w:type="dxa"/>
            <w:gridSpan w:val="6"/>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val="0"/>
                <w:bCs/>
                <w:sz w:val="24"/>
                <w:szCs w:val="24"/>
              </w:rPr>
              <w:t>鲁交科评字[2023]30号</w:t>
            </w:r>
          </w:p>
        </w:tc>
        <w:tc>
          <w:tcPr>
            <w:tcW w:w="1573"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1301" w:type="dxa"/>
            <w:gridSpan w:val="2"/>
            <w:shd w:val="clear" w:color="auto" w:fill="auto"/>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4555" w:type="dxa"/>
            <w:gridSpan w:val="7"/>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114" w:type="dxa"/>
            <w:gridSpan w:val="4"/>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4555" w:type="dxa"/>
            <w:gridSpan w:val="7"/>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3114" w:type="dxa"/>
            <w:gridSpan w:val="4"/>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济南市高新区天辰路2177号联合财富广场5号楼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720" w:type="dxa"/>
            <w:gridSpan w:val="4"/>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2689" w:type="dxa"/>
            <w:gridSpan w:val="2"/>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3260" w:type="dxa"/>
            <w:gridSpan w:val="5"/>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毕玉峰</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庄伟</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聚氨酯混合料组成设计及性能研究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宋杰</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聚氨酯混合料组成设计及性能研究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孙敏</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山东建筑大学</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聚氨酯胶结料分析与表征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陈赛</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聚氨酯混合料组成设计及性能研究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颜卓然</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聚氨酯混合料组成设计及性能研究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焦绪旺</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聚氨酯混合料组成设计及性能研究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陈昊</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聚氨酯混合料路面层间剪切特性研究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丁婷婷</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聚氨酯混合料路面层间剪切特性研究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张常勇</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聚氨酯混合料路面层间剪切特性研究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刘迪</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聚氨酯混合料路面结构响应及施工工艺研究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齐仕杰</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聚氨酯混合料路面结构响应及施工工艺研究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1720" w:type="dxa"/>
            <w:gridSpan w:val="4"/>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王俊栋</w:t>
            </w:r>
          </w:p>
        </w:tc>
        <w:tc>
          <w:tcPr>
            <w:tcW w:w="2689"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3260"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聚氨酯混合料路面结构响应及施工工艺研究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2"/>
            <w:shd w:val="clear" w:color="auto" w:fill="auto"/>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主要应用于道路工程领域。本项目主要技术原理在于采用聚氨酯替代沥青作为路面铺装材料胶结料，研发一种高性能、耐久、绿色环保的路面铺装材料，对聚氨酯混合料材料组成、路用性能和力学特性、路面结构和施工工艺等关键技术开展研究，并提出典型路面结构和施工工艺控制标准。</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项目研究取得了以下主要创新性成果。</w:t>
            </w:r>
          </w:p>
          <w:p>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1．揭示了聚氨酯胶结料用于道路路面混合料的作用机理，提出了冷拌高性能聚氨酯混合料组成设计方法。</w:t>
            </w:r>
          </w:p>
          <w:p>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2．基于不同类型聚氨酯混合料路面组合及荷载响应计算，研发了适应重载交通的聚氨酯混合料典型路面结构。</w:t>
            </w:r>
          </w:p>
          <w:p>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3．依托荣乌高速和青银高速实体工程，提出了现场拌和法、厂拌法施工工艺流程和关键工序控制要点。</w:t>
            </w:r>
          </w:p>
          <w:p>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4．编制了《公路聚氨酯混合料路面施工技术规程》，并形成了冷拌高性能聚氨酯混合料路面成套技术。</w:t>
            </w:r>
          </w:p>
          <w:p>
            <w:pPr>
              <w:snapToGrid w:val="0"/>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项目研究成果获得授权发明专利3项，发表论文2篇（SCI收录2篇），成果在G18荣乌高速烟台黄城段和青银高速夏津段得到成功应用，经济、社会、环境效益显著，推广应用前景广阔。</w:t>
            </w:r>
          </w:p>
          <w:p>
            <w:pPr>
              <w:snapToGrid w:val="0"/>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评价委员会一致同意，项目研究成果总体上达到国际先进水平。</w:t>
            </w:r>
          </w:p>
          <w:p>
            <w:pPr>
              <w:snapToGrid w:val="0"/>
              <w:spacing w:line="520" w:lineRule="exact"/>
              <w:ind w:firstLine="480" w:firstLineChars="200"/>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32" w:type="dxa"/>
            <w:gridSpan w:val="2"/>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137" w:type="dxa"/>
            <w:gridSpan w:val="2"/>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2229" w:type="dxa"/>
            <w:gridSpan w:val="5"/>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1082" w:type="dxa"/>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13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王松根</w:t>
            </w:r>
          </w:p>
        </w:tc>
        <w:tc>
          <w:tcPr>
            <w:tcW w:w="3137"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中国公路学会</w:t>
            </w:r>
          </w:p>
        </w:tc>
        <w:tc>
          <w:tcPr>
            <w:tcW w:w="2229"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公路工程</w:t>
            </w:r>
          </w:p>
        </w:tc>
        <w:tc>
          <w:tcPr>
            <w:tcW w:w="108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13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宋修广</w:t>
            </w:r>
          </w:p>
        </w:tc>
        <w:tc>
          <w:tcPr>
            <w:tcW w:w="3137"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山东大学</w:t>
            </w:r>
          </w:p>
        </w:tc>
        <w:tc>
          <w:tcPr>
            <w:tcW w:w="2229"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道路与铁道工程</w:t>
            </w:r>
          </w:p>
        </w:tc>
        <w:tc>
          <w:tcPr>
            <w:tcW w:w="108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13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刘甲荣</w:t>
            </w:r>
          </w:p>
        </w:tc>
        <w:tc>
          <w:tcPr>
            <w:tcW w:w="3137"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山东高速股份有限公司</w:t>
            </w:r>
          </w:p>
        </w:tc>
        <w:tc>
          <w:tcPr>
            <w:tcW w:w="2229"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13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荣  兴</w:t>
            </w:r>
          </w:p>
        </w:tc>
        <w:tc>
          <w:tcPr>
            <w:tcW w:w="3137"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山东省高速养护集团有限公司</w:t>
            </w:r>
          </w:p>
        </w:tc>
        <w:tc>
          <w:tcPr>
            <w:tcW w:w="2229"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13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郭德栋</w:t>
            </w:r>
          </w:p>
        </w:tc>
        <w:tc>
          <w:tcPr>
            <w:tcW w:w="3137"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山东交通学院</w:t>
            </w:r>
          </w:p>
        </w:tc>
        <w:tc>
          <w:tcPr>
            <w:tcW w:w="2229"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13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杨晓春</w:t>
            </w:r>
          </w:p>
        </w:tc>
        <w:tc>
          <w:tcPr>
            <w:tcW w:w="3137"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山东省交通运输厅工程建设事务中心</w:t>
            </w:r>
          </w:p>
        </w:tc>
        <w:tc>
          <w:tcPr>
            <w:tcW w:w="2229"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13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刘积军</w:t>
            </w:r>
          </w:p>
        </w:tc>
        <w:tc>
          <w:tcPr>
            <w:tcW w:w="3137"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山东省路桥集团有限公司</w:t>
            </w:r>
          </w:p>
        </w:tc>
        <w:tc>
          <w:tcPr>
            <w:tcW w:w="2229"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13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贾学军</w:t>
            </w:r>
          </w:p>
        </w:tc>
        <w:tc>
          <w:tcPr>
            <w:tcW w:w="3137"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山东省交通运输厅工程建设事务中心</w:t>
            </w:r>
          </w:p>
        </w:tc>
        <w:tc>
          <w:tcPr>
            <w:tcW w:w="2229"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财务</w:t>
            </w:r>
          </w:p>
        </w:tc>
        <w:tc>
          <w:tcPr>
            <w:tcW w:w="108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1132"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 xml:space="preserve">孙  </w:t>
            </w:r>
            <w:bookmarkStart w:id="0" w:name="_GoBack"/>
            <w:bookmarkEnd w:id="0"/>
            <w:r>
              <w:rPr>
                <w:rFonts w:hint="eastAsia" w:ascii="宋体" w:hAnsi="宋体" w:eastAsia="宋体" w:cs="宋体"/>
                <w:sz w:val="24"/>
                <w:szCs w:val="24"/>
              </w:rPr>
              <w:t>静</w:t>
            </w:r>
          </w:p>
        </w:tc>
        <w:tc>
          <w:tcPr>
            <w:tcW w:w="3137" w:type="dxa"/>
            <w:gridSpan w:val="2"/>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山东公路技师学院</w:t>
            </w:r>
          </w:p>
        </w:tc>
        <w:tc>
          <w:tcPr>
            <w:tcW w:w="2229" w:type="dxa"/>
            <w:gridSpan w:val="5"/>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财务</w:t>
            </w:r>
          </w:p>
        </w:tc>
        <w:tc>
          <w:tcPr>
            <w:tcW w:w="1082"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522" w:type="dxa"/>
            <w:gridSpan w:val="12"/>
            <w:shd w:val="clear" w:color="auto" w:fill="auto"/>
            <w:vAlign w:val="center"/>
          </w:tcPr>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2023年5月19日，山东省交通运输厅在济南组织了“冷拌高性能聚氨酯混合料路面关键技术研究”（编号：2019B56）项目验收工作。验收专家组（名单附后）听取了项目组的汇报，审阅了相关技术文件和财务报告，经质询和讨论，形成验收意见如下：</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一、项目组提交的资料齐全，内容完整，符合验收要求。</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二、项目组通过室内试验、理论分析、工程实践等手段，对冷拌高性能聚氨酯混合料路面关键技术进行了系统研究，取得了以下主要创新性成果：</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1．揭示了聚氨酯胶结料用于道路路面混合料的作用机理，提出了冷拌高性能聚氨酯混合料组成设计方法。</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2．基于不同类型聚氨酯混合料路面组合及荷载响应计算，研发了适应重载交通的聚氨酯混合料典型路面结构。</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3．依托荣乌高速和青银高速实体工程，提出了现场拌和法、厂拌法施工工艺流程和关键工序控制要点。</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4．编制了《公路聚氨酯混合料路面施工技术规程》，并形成了冷拌高性能聚氨酯混合料路面成套技术。</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三、项目研究成果获得授权发明专利3项，发表论文2篇（SCI收录2篇），成果在G18荣乌高速烟台黄城段和青银高速夏津段得到成功应用，经济、社会、环境效益显著，推广应用前景广阔。</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四、根据项目财务报告列示情况，该项目经费使用合理，符合相关要求。</w:t>
            </w:r>
          </w:p>
          <w:p>
            <w:pPr>
              <w:widowControl/>
              <w:adjustRightInd w:val="0"/>
              <w:snapToGrid w:val="0"/>
              <w:spacing w:line="52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专家组一致同意该项目通过技术和财务验收。</w:t>
            </w:r>
          </w:p>
          <w:p>
            <w:pPr>
              <w:widowControl/>
              <w:adjustRightInd w:val="0"/>
              <w:snapToGrid w:val="0"/>
              <w:spacing w:line="520" w:lineRule="exact"/>
              <w:ind w:firstLine="480" w:firstLineChars="200"/>
              <w:jc w:val="left"/>
              <w:rPr>
                <w:rFonts w:hint="eastAsia" w:ascii="宋体" w:hAnsi="宋体" w:eastAsia="宋体" w:cs="宋体"/>
                <w:bCs/>
                <w:sz w:val="24"/>
                <w:szCs w:val="24"/>
              </w:rPr>
            </w:pPr>
          </w:p>
          <w:p>
            <w:pPr>
              <w:widowControl/>
              <w:adjustRightInd w:val="0"/>
              <w:snapToGrid w:val="0"/>
              <w:spacing w:line="520" w:lineRule="exact"/>
              <w:ind w:firstLine="482" w:firstLineChars="200"/>
              <w:jc w:val="left"/>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2" w:hRule="atLeast"/>
        </w:trPr>
        <w:tc>
          <w:tcPr>
            <w:tcW w:w="8522" w:type="dxa"/>
            <w:gridSpan w:val="12"/>
            <w:shd w:val="clear" w:color="auto" w:fill="auto"/>
            <w:vAlign w:val="center"/>
          </w:tcPr>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2023年5月19日，山东公路学会在济南组织了“冷拌高性能聚氨酯混合料路面关键技术研究”成果评价工作。评价委员会（名单附后）听取了项目组的汇报，审阅了相关技术文件，经质询和讨论，形成评价意见如下：</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一、项目组提交的技术文件齐全，内容完整，数据翔实，符合评价要求。</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二、项目组通过室内试验、理论分析、工程实践等手段，对冷拌高性能聚氨酯混合料路面关键技术进行了系统研究，取得了以下主要创新性成果：</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1．揭示了聚氨酯胶结料用于道路路面混合料的作用机理，提出了冷拌高性能聚氨酯混合料组成设计方法。</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2．基于不同类型聚氨酯混合料路面组合及荷载响应计算，研发了适应重载交通的聚氨酯混合料典型路面结构。</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3．依托荣乌高速和青银高速实体工程，提出了现场拌和法、厂拌法施工工艺流程和关键工序控制要点。</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4．编制了《公路聚氨酯混合料路面施工技术规程》，并形成了冷拌高性能聚氨酯混合料路面成套技术。</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三、项目研究成果在G18荣乌高速烟台黄城段和青银高速夏津段得到成功应用，经济、社会、环境效益显著，推广应用前景广阔。</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综上所述，项目总体上达到国际先进水平。</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建议加强研究成果的推广应用。</w:t>
            </w: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p>
            <w:pPr>
              <w:rPr>
                <w:rFonts w:hint="eastAsia" w:ascii="宋体" w:hAnsi="宋体" w:eastAsia="宋体" w:cs="宋体"/>
                <w:b/>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2Q5MDAzZjYxNDk5MWU5YTU4ZTgzNzg5MTY5NDI1MjIifQ=="/>
  </w:docVars>
  <w:rsids>
    <w:rsidRoot w:val="00495D75"/>
    <w:rsid w:val="00064B98"/>
    <w:rsid w:val="0008522F"/>
    <w:rsid w:val="00096890"/>
    <w:rsid w:val="000A4A43"/>
    <w:rsid w:val="000B0580"/>
    <w:rsid w:val="000B404F"/>
    <w:rsid w:val="000E4EA8"/>
    <w:rsid w:val="00101B8F"/>
    <w:rsid w:val="00105C8B"/>
    <w:rsid w:val="0012543B"/>
    <w:rsid w:val="001452D8"/>
    <w:rsid w:val="00170FF7"/>
    <w:rsid w:val="001D242A"/>
    <w:rsid w:val="001E2CBF"/>
    <w:rsid w:val="00223AFF"/>
    <w:rsid w:val="00243173"/>
    <w:rsid w:val="00273D6B"/>
    <w:rsid w:val="002D6E9A"/>
    <w:rsid w:val="002F7367"/>
    <w:rsid w:val="003566D7"/>
    <w:rsid w:val="00380525"/>
    <w:rsid w:val="003A1FEC"/>
    <w:rsid w:val="003A5C9A"/>
    <w:rsid w:val="003D46BF"/>
    <w:rsid w:val="003D5618"/>
    <w:rsid w:val="004137A7"/>
    <w:rsid w:val="00423934"/>
    <w:rsid w:val="00424615"/>
    <w:rsid w:val="00430053"/>
    <w:rsid w:val="00445B06"/>
    <w:rsid w:val="0046363F"/>
    <w:rsid w:val="00477110"/>
    <w:rsid w:val="00495D75"/>
    <w:rsid w:val="004F1A92"/>
    <w:rsid w:val="00543184"/>
    <w:rsid w:val="005508C7"/>
    <w:rsid w:val="0056471D"/>
    <w:rsid w:val="00585CBB"/>
    <w:rsid w:val="005D4877"/>
    <w:rsid w:val="006030F7"/>
    <w:rsid w:val="0061399F"/>
    <w:rsid w:val="006207A2"/>
    <w:rsid w:val="006D3657"/>
    <w:rsid w:val="006E2165"/>
    <w:rsid w:val="006F63E4"/>
    <w:rsid w:val="007225B4"/>
    <w:rsid w:val="00725E8B"/>
    <w:rsid w:val="007A2210"/>
    <w:rsid w:val="007C208A"/>
    <w:rsid w:val="008011F3"/>
    <w:rsid w:val="00842414"/>
    <w:rsid w:val="008521E6"/>
    <w:rsid w:val="00867505"/>
    <w:rsid w:val="00874314"/>
    <w:rsid w:val="008A4F5E"/>
    <w:rsid w:val="008F18AF"/>
    <w:rsid w:val="008F5C90"/>
    <w:rsid w:val="009016BF"/>
    <w:rsid w:val="0091606A"/>
    <w:rsid w:val="00916DB8"/>
    <w:rsid w:val="00932FD6"/>
    <w:rsid w:val="00935923"/>
    <w:rsid w:val="00961315"/>
    <w:rsid w:val="009822FD"/>
    <w:rsid w:val="009926A0"/>
    <w:rsid w:val="009F3EE9"/>
    <w:rsid w:val="00A00708"/>
    <w:rsid w:val="00A02265"/>
    <w:rsid w:val="00A47605"/>
    <w:rsid w:val="00A64701"/>
    <w:rsid w:val="00B1709C"/>
    <w:rsid w:val="00B531FA"/>
    <w:rsid w:val="00B62A30"/>
    <w:rsid w:val="00BB5998"/>
    <w:rsid w:val="00BD5D83"/>
    <w:rsid w:val="00C1680E"/>
    <w:rsid w:val="00C26DAC"/>
    <w:rsid w:val="00C841C2"/>
    <w:rsid w:val="00CC5521"/>
    <w:rsid w:val="00CD2AA0"/>
    <w:rsid w:val="00D146B4"/>
    <w:rsid w:val="00D82185"/>
    <w:rsid w:val="00D91246"/>
    <w:rsid w:val="00DB47F6"/>
    <w:rsid w:val="00DC45C1"/>
    <w:rsid w:val="00DD5B76"/>
    <w:rsid w:val="00DD6610"/>
    <w:rsid w:val="00E7174E"/>
    <w:rsid w:val="00EB7006"/>
    <w:rsid w:val="00ED6902"/>
    <w:rsid w:val="00EE0CFE"/>
    <w:rsid w:val="00F27482"/>
    <w:rsid w:val="00F34F0B"/>
    <w:rsid w:val="00F46EA1"/>
    <w:rsid w:val="00F472A0"/>
    <w:rsid w:val="00F66F5D"/>
    <w:rsid w:val="00FE3FB9"/>
    <w:rsid w:val="2E663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eastAsia="宋体"/>
      <w:sz w:val="18"/>
      <w:szCs w:val="18"/>
    </w:rPr>
  </w:style>
  <w:style w:type="character" w:customStyle="1" w:styleId="7">
    <w:name w:val="页脚 字符"/>
    <w:basedOn w:val="5"/>
    <w:link w:val="2"/>
    <w:qFormat/>
    <w:uiPriority w:val="99"/>
    <w:rPr>
      <w:rFonts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369</Words>
  <Characters>2106</Characters>
  <Lines>17</Lines>
  <Paragraphs>4</Paragraphs>
  <TotalTime>1</TotalTime>
  <ScaleCrop>false</ScaleCrop>
  <LinksUpToDate>false</LinksUpToDate>
  <CharactersWithSpaces>2471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2022-10-17T00:43:00Z</dcterms:created>
  <dc:creator>Zhuoran Yan</dc:creator>
  <cp:lastModifiedBy>非左</cp:lastModifiedBy>
  <dcterms:modified xsi:type="dcterms:W3CDTF">2023-09-05T03:10:20Z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BE2D82C61AA948D6AFB78B19B3E73E53_12</vt:lpwstr>
  </property>
</Properties>
</file>